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762" w:rsidRDefault="002B2B8D" w:rsidP="002B2B8D">
      <w:pPr>
        <w:jc w:val="center"/>
        <w:rPr>
          <w:rFonts w:ascii="Segoe UI" w:hAnsi="Segoe UI" w:cs="Segoe UI"/>
          <w:b/>
          <w:bCs/>
          <w:color w:val="242424"/>
          <w:shd w:val="clear" w:color="auto" w:fill="FFFFFF"/>
        </w:rPr>
      </w:pPr>
      <w:r>
        <w:rPr>
          <w:rFonts w:ascii="Segoe UI" w:hAnsi="Segoe UI" w:cs="Segoe UI"/>
          <w:b/>
          <w:bCs/>
          <w:color w:val="242424"/>
          <w:shd w:val="clear" w:color="auto" w:fill="FFFFFF"/>
        </w:rPr>
        <w:t>Solicitud de insumos para respuesta a la petición 2026-ER-20954.</w:t>
      </w:r>
    </w:p>
    <w:p w:rsidR="002B2B8D" w:rsidRPr="002B2B8D" w:rsidRDefault="002B2B8D" w:rsidP="002B2B8D">
      <w:pPr>
        <w:shd w:val="clear" w:color="auto" w:fill="FFFFFF"/>
        <w:spacing w:after="0" w:line="240" w:lineRule="auto"/>
        <w:textAlignment w:val="baseline"/>
        <w:rPr>
          <w:rFonts w:ascii="Tahoma" w:eastAsia="Times New Roman" w:hAnsi="Tahoma" w:cs="Tahoma"/>
          <w:color w:val="000000"/>
          <w:sz w:val="24"/>
          <w:szCs w:val="24"/>
          <w:lang w:eastAsia="es-CO"/>
        </w:rPr>
      </w:pPr>
      <w:r w:rsidRPr="002B2B8D">
        <w:rPr>
          <w:rFonts w:ascii="Tahoma" w:eastAsia="Times New Roman" w:hAnsi="Tahoma" w:cs="Tahoma"/>
          <w:color w:val="000000"/>
          <w:sz w:val="24"/>
          <w:szCs w:val="24"/>
          <w:lang w:eastAsia="es-CO"/>
        </w:rPr>
        <w:t>-Localidad de Engativá: UPZ 72-Bolivia; UPZ 73-Garces Navas y UPZ 74- Engativá, con sus respectivos barrios.</w:t>
      </w:r>
    </w:p>
    <w:p w:rsidR="002B2B8D" w:rsidRPr="002B2B8D" w:rsidRDefault="002B2B8D" w:rsidP="002B2B8D">
      <w:pPr>
        <w:shd w:val="clear" w:color="auto" w:fill="FFFFFF"/>
        <w:spacing w:after="0" w:line="240" w:lineRule="auto"/>
        <w:textAlignment w:val="baseline"/>
        <w:rPr>
          <w:rFonts w:ascii="Tahoma" w:eastAsia="Times New Roman" w:hAnsi="Tahoma" w:cs="Tahoma"/>
          <w:color w:val="000000"/>
          <w:sz w:val="24"/>
          <w:szCs w:val="24"/>
          <w:lang w:eastAsia="es-CO"/>
        </w:rPr>
      </w:pPr>
    </w:p>
    <w:p w:rsidR="002B2B8D" w:rsidRPr="002B2B8D" w:rsidRDefault="002B2B8D" w:rsidP="002B2B8D">
      <w:pPr>
        <w:shd w:val="clear" w:color="auto" w:fill="FFFFFF"/>
        <w:spacing w:after="0" w:line="240" w:lineRule="auto"/>
        <w:textAlignment w:val="baseline"/>
        <w:rPr>
          <w:rFonts w:ascii="Tahoma" w:eastAsia="Times New Roman" w:hAnsi="Tahoma" w:cs="Tahoma"/>
          <w:color w:val="000000"/>
          <w:sz w:val="24"/>
          <w:szCs w:val="24"/>
          <w:lang w:eastAsia="es-CO"/>
        </w:rPr>
      </w:pPr>
      <w:r w:rsidRPr="002B2B8D">
        <w:rPr>
          <w:rFonts w:ascii="Tahoma" w:eastAsia="Times New Roman" w:hAnsi="Tahoma" w:cs="Tahoma"/>
          <w:color w:val="000000"/>
          <w:sz w:val="24"/>
          <w:szCs w:val="24"/>
          <w:lang w:eastAsia="es-CO"/>
        </w:rPr>
        <w:t>-Localidad de Suba: UPZ 28-El Rincón; UPZ 71, Tibabuyes y UPZ 27-Suba Centro, con sus respectivos barrios. También las acciones realizadas en la zona rural de Suba que se ubica sobre la franja del rio Bogotá.</w:t>
      </w:r>
    </w:p>
    <w:p w:rsidR="002B2B8D" w:rsidRPr="002B2B8D" w:rsidRDefault="002B2B8D" w:rsidP="002B2B8D">
      <w:pPr>
        <w:shd w:val="clear" w:color="auto" w:fill="FFFFFF"/>
        <w:spacing w:after="0" w:line="240" w:lineRule="auto"/>
        <w:textAlignment w:val="baseline"/>
        <w:rPr>
          <w:rFonts w:ascii="Tahoma" w:eastAsia="Times New Roman" w:hAnsi="Tahoma" w:cs="Tahoma"/>
          <w:color w:val="000000"/>
          <w:sz w:val="24"/>
          <w:szCs w:val="24"/>
          <w:lang w:eastAsia="es-CO"/>
        </w:rPr>
      </w:pPr>
    </w:p>
    <w:p w:rsidR="002B2B8D" w:rsidRPr="002B2B8D" w:rsidRDefault="002B2B8D" w:rsidP="002B2B8D">
      <w:pPr>
        <w:shd w:val="clear" w:color="auto" w:fill="FFFFFF"/>
        <w:spacing w:after="0" w:line="240" w:lineRule="auto"/>
        <w:textAlignment w:val="baseline"/>
        <w:rPr>
          <w:rFonts w:ascii="Tahoma" w:eastAsia="Times New Roman" w:hAnsi="Tahoma" w:cs="Tahoma"/>
          <w:color w:val="000000"/>
          <w:sz w:val="24"/>
          <w:szCs w:val="24"/>
          <w:lang w:eastAsia="es-CO"/>
        </w:rPr>
      </w:pPr>
      <w:r w:rsidRPr="002B2B8D">
        <w:rPr>
          <w:rFonts w:ascii="Tahoma" w:eastAsia="Times New Roman" w:hAnsi="Tahoma" w:cs="Tahoma"/>
          <w:color w:val="000000"/>
          <w:sz w:val="24"/>
          <w:szCs w:val="24"/>
          <w:lang w:eastAsia="es-CO"/>
        </w:rPr>
        <w:t>-Localidad de Fontibón: UPZ-75 Fontibón; UPZ 117-Aeropuerto el Dorado y UPZ 76-San Pablo, con sus respectivos barrios.</w:t>
      </w:r>
    </w:p>
    <w:p w:rsidR="002B2B8D" w:rsidRDefault="002B2B8D" w:rsidP="002B2B8D">
      <w:pPr>
        <w:jc w:val="both"/>
      </w:pPr>
    </w:p>
    <w:p w:rsidR="002B2B8D" w:rsidRPr="002B2B8D" w:rsidRDefault="002B2B8D" w:rsidP="002B2B8D">
      <w:pPr>
        <w:jc w:val="both"/>
        <w:rPr>
          <w:rFonts w:ascii="Arial" w:hAnsi="Arial" w:cs="Arial"/>
        </w:rPr>
      </w:pPr>
      <w:r w:rsidRPr="002B2B8D">
        <w:rPr>
          <w:rFonts w:ascii="Arial" w:hAnsi="Arial" w:cs="Arial"/>
        </w:rPr>
        <w:t xml:space="preserve">En el marco de la acción integral e integrada cuidado continuo por una vida con </w:t>
      </w:r>
      <w:proofErr w:type="gramStart"/>
      <w:r w:rsidRPr="002B2B8D">
        <w:rPr>
          <w:rFonts w:ascii="Arial" w:hAnsi="Arial" w:cs="Arial"/>
        </w:rPr>
        <w:t>MAS</w:t>
      </w:r>
      <w:proofErr w:type="gramEnd"/>
      <w:r w:rsidRPr="002B2B8D">
        <w:rPr>
          <w:rFonts w:ascii="Arial" w:hAnsi="Arial" w:cs="Arial"/>
        </w:rPr>
        <w:t xml:space="preserve"> bienestar, desde el entorno laboral se han desarrollado las siguientes acciones de bienestar para el fortalecimiento de prácticas de autocuidado y el mejoramiento de las condiciones de salud y trabajo de la población trabajadora informal:</w:t>
      </w:r>
    </w:p>
    <w:p w:rsidR="002B2B8D" w:rsidRDefault="002B2B8D" w:rsidP="002B2B8D">
      <w:pPr>
        <w:jc w:val="both"/>
        <w:rPr>
          <w:rFonts w:ascii="Arial" w:eastAsia="Times New Roman" w:hAnsi="Arial" w:cs="Arial"/>
          <w:b/>
          <w:color w:val="000000"/>
          <w:lang w:eastAsia="es-CO"/>
        </w:rPr>
      </w:pPr>
      <w:r w:rsidRPr="002B2B8D">
        <w:rPr>
          <w:rFonts w:ascii="Arial" w:eastAsia="Times New Roman" w:hAnsi="Arial" w:cs="Arial"/>
          <w:b/>
          <w:color w:val="000000"/>
          <w:lang w:eastAsia="es-CO"/>
        </w:rPr>
        <w:t>Localidad de Engativá: UPZ 72-Bolivia; UPZ 73-Garces Navas y UPZ 74- Engativá</w:t>
      </w:r>
      <w:r w:rsidRPr="005A5FFA">
        <w:rPr>
          <w:rFonts w:ascii="Arial" w:eastAsia="Times New Roman" w:hAnsi="Arial" w:cs="Arial"/>
          <w:b/>
          <w:color w:val="000000"/>
          <w:lang w:eastAsia="es-CO"/>
        </w:rPr>
        <w:t xml:space="preserve">: </w:t>
      </w:r>
    </w:p>
    <w:p w:rsidR="000F2BE4" w:rsidRPr="000F2BE4" w:rsidRDefault="000F2BE4" w:rsidP="000F2BE4">
      <w:pPr>
        <w:pStyle w:val="NormalWeb"/>
        <w:jc w:val="both"/>
        <w:rPr>
          <w:rFonts w:ascii="Arial" w:hAnsi="Arial" w:cs="Arial"/>
          <w:sz w:val="22"/>
          <w:szCs w:val="22"/>
        </w:rPr>
      </w:pPr>
      <w:r w:rsidRPr="000F2BE4">
        <w:rPr>
          <w:rFonts w:ascii="Arial" w:hAnsi="Arial" w:cs="Arial"/>
          <w:sz w:val="22"/>
          <w:szCs w:val="22"/>
        </w:rPr>
        <w:t>A través de las</w:t>
      </w:r>
      <w:r w:rsidRPr="000F2BE4">
        <w:rPr>
          <w:rFonts w:ascii="Arial" w:hAnsi="Arial" w:cs="Arial"/>
          <w:sz w:val="22"/>
          <w:szCs w:val="22"/>
        </w:rPr>
        <w:t xml:space="preserve"> acciones de bienestar de tipo colectivo</w:t>
      </w:r>
      <w:r w:rsidRPr="000F2BE4">
        <w:rPr>
          <w:rFonts w:ascii="Arial" w:hAnsi="Arial" w:cs="Arial"/>
          <w:sz w:val="22"/>
          <w:szCs w:val="22"/>
        </w:rPr>
        <w:t>, se han desarrollado sesiones educativas orientadas a la erradicación del trabajo infantil, en las cuales se ha abordado a 11 niños, niñas y adolescentes (NNA), con el propósito de fomentar su desvinculación de actividades laborales y promover prácticas de autocuidado.</w:t>
      </w:r>
    </w:p>
    <w:p w:rsidR="000F2BE4" w:rsidRPr="000F2BE4" w:rsidRDefault="000F2BE4" w:rsidP="000F2BE4">
      <w:pPr>
        <w:pStyle w:val="NormalWeb"/>
        <w:jc w:val="both"/>
        <w:rPr>
          <w:rFonts w:ascii="Arial" w:hAnsi="Arial" w:cs="Arial"/>
          <w:sz w:val="22"/>
          <w:szCs w:val="22"/>
        </w:rPr>
      </w:pPr>
      <w:r w:rsidRPr="000F2BE4">
        <w:rPr>
          <w:rFonts w:ascii="Arial" w:hAnsi="Arial" w:cs="Arial"/>
          <w:sz w:val="22"/>
          <w:szCs w:val="22"/>
        </w:rPr>
        <w:t>Asimismo, 22 trabajadores informales han participado en procesos de sensibilización sobre el expendio responsable de bebidas alcohólicas, mediante actividades de educación transformadora.</w:t>
      </w:r>
    </w:p>
    <w:p w:rsidR="000F2BE4" w:rsidRPr="000F2BE4" w:rsidRDefault="000F2BE4" w:rsidP="000F2BE4">
      <w:pPr>
        <w:pStyle w:val="NormalWeb"/>
        <w:jc w:val="both"/>
        <w:rPr>
          <w:rFonts w:ascii="Arial" w:hAnsi="Arial" w:cs="Arial"/>
          <w:sz w:val="22"/>
          <w:szCs w:val="22"/>
        </w:rPr>
      </w:pPr>
      <w:r w:rsidRPr="000F2BE4">
        <w:rPr>
          <w:rFonts w:ascii="Arial" w:hAnsi="Arial" w:cs="Arial"/>
          <w:sz w:val="22"/>
          <w:szCs w:val="22"/>
        </w:rPr>
        <w:t>Por otra parte, se logró la identificación de 25 niños, niñas y adolescentes en el marco de la acción de bienestar enfocada en la caracterización de población infantil vinculada o en acompañamiento de actividades laborales. A partir de esta caracterización, se establece un plan de trabajo orientado a contribuir a su proceso de desvinculación laboral.</w:t>
      </w:r>
    </w:p>
    <w:p w:rsidR="000F2BE4" w:rsidRPr="000F2BE4" w:rsidRDefault="000F2BE4" w:rsidP="000F2BE4">
      <w:pPr>
        <w:pStyle w:val="NormalWeb"/>
        <w:jc w:val="both"/>
        <w:rPr>
          <w:rFonts w:ascii="Arial" w:hAnsi="Arial" w:cs="Arial"/>
          <w:sz w:val="22"/>
          <w:szCs w:val="22"/>
        </w:rPr>
      </w:pPr>
      <w:r w:rsidRPr="000F2BE4">
        <w:rPr>
          <w:rFonts w:ascii="Arial" w:hAnsi="Arial" w:cs="Arial"/>
          <w:sz w:val="22"/>
          <w:szCs w:val="22"/>
        </w:rPr>
        <w:t>Este plan contempla el abordaje de temáticas de sensibilización como proyecto de vida, pautas de crianza, comunicación asertiva, empatía y desarrollo integral. De igual manera, incluye la socialización de prácticas de autocuidado relacionadas con alimentación saludable, verificación de esquemas de vacunación, promoción del uso adecuado del tiempo libre y seguimiento al proceso de escolarización.</w:t>
      </w:r>
    </w:p>
    <w:p w:rsidR="000F2BE4" w:rsidRPr="005A5FFA" w:rsidRDefault="000F2BE4" w:rsidP="002B2B8D">
      <w:pPr>
        <w:jc w:val="both"/>
        <w:rPr>
          <w:rFonts w:ascii="Arial" w:eastAsia="Times New Roman" w:hAnsi="Arial" w:cs="Arial"/>
          <w:b/>
          <w:color w:val="000000"/>
          <w:lang w:eastAsia="es-CO"/>
        </w:rPr>
      </w:pPr>
    </w:p>
    <w:p w:rsidR="00166D98" w:rsidRPr="00166D98" w:rsidRDefault="005A5FFA" w:rsidP="002B2B8D">
      <w:pPr>
        <w:jc w:val="both"/>
        <w:rPr>
          <w:rFonts w:ascii="Tahoma" w:eastAsia="Times New Roman" w:hAnsi="Tahoma" w:cs="Tahoma"/>
          <w:b/>
          <w:color w:val="000000"/>
          <w:lang w:eastAsia="es-CO"/>
        </w:rPr>
      </w:pPr>
      <w:r w:rsidRPr="002B2B8D">
        <w:rPr>
          <w:rFonts w:ascii="Tahoma" w:eastAsia="Times New Roman" w:hAnsi="Tahoma" w:cs="Tahoma"/>
          <w:b/>
          <w:color w:val="000000"/>
          <w:lang w:eastAsia="es-CO"/>
        </w:rPr>
        <w:t xml:space="preserve">Localidad de Suba: UPZ 28-El Rincón; UPZ 71, </w:t>
      </w:r>
      <w:r w:rsidRPr="005A5FFA">
        <w:rPr>
          <w:rFonts w:ascii="Tahoma" w:eastAsia="Times New Roman" w:hAnsi="Tahoma" w:cs="Tahoma"/>
          <w:b/>
          <w:color w:val="000000"/>
          <w:lang w:eastAsia="es-CO"/>
        </w:rPr>
        <w:t>Tibabuyes y UPZ 27-Suba Centro.</w:t>
      </w:r>
    </w:p>
    <w:p w:rsidR="00166D98" w:rsidRPr="00166D98" w:rsidRDefault="00166D98" w:rsidP="00166D98">
      <w:pPr>
        <w:pStyle w:val="NormalWeb"/>
        <w:jc w:val="both"/>
        <w:rPr>
          <w:rFonts w:ascii="Arial" w:hAnsi="Arial" w:cs="Arial"/>
          <w:sz w:val="22"/>
          <w:szCs w:val="22"/>
        </w:rPr>
      </w:pPr>
      <w:r w:rsidRPr="00166D98">
        <w:rPr>
          <w:rFonts w:ascii="Arial" w:hAnsi="Arial" w:cs="Arial"/>
          <w:sz w:val="22"/>
          <w:szCs w:val="22"/>
        </w:rPr>
        <w:t xml:space="preserve">Se han desarrollado sesiones colectivas mediante actividades lúdico-pedagógicas orientadas al mejoramiento de las condiciones de salud y trabajo de la población </w:t>
      </w:r>
      <w:r w:rsidR="00FF4B66">
        <w:rPr>
          <w:rFonts w:ascii="Arial" w:hAnsi="Arial" w:cs="Arial"/>
          <w:sz w:val="22"/>
          <w:szCs w:val="22"/>
        </w:rPr>
        <w:t xml:space="preserve">trabajadora </w:t>
      </w:r>
      <w:r w:rsidRPr="00166D98">
        <w:rPr>
          <w:rFonts w:ascii="Arial" w:hAnsi="Arial" w:cs="Arial"/>
          <w:sz w:val="22"/>
          <w:szCs w:val="22"/>
        </w:rPr>
        <w:t>informal. En el marco de las acciones de bienestar, se han implementado las siguientes intervenciones:</w:t>
      </w:r>
    </w:p>
    <w:p w:rsidR="00166D98" w:rsidRPr="00166D98" w:rsidRDefault="00166D98" w:rsidP="00166D98">
      <w:pPr>
        <w:pStyle w:val="NormalWeb"/>
        <w:jc w:val="both"/>
        <w:rPr>
          <w:rFonts w:ascii="Arial" w:hAnsi="Arial" w:cs="Arial"/>
          <w:sz w:val="22"/>
          <w:szCs w:val="22"/>
        </w:rPr>
      </w:pPr>
      <w:r w:rsidRPr="00166D98">
        <w:rPr>
          <w:rFonts w:ascii="Arial" w:hAnsi="Arial" w:cs="Arial"/>
          <w:sz w:val="22"/>
          <w:szCs w:val="22"/>
        </w:rPr>
        <w:lastRenderedPageBreak/>
        <w:t>Se realizaron sesiones con personas en condición de discapacidad, con el objetivo de mejorar los espacios laborales informales donde se desempeñan, así como aquellos en los que participan personas cuidadoras. Estas sesiones educativas estuvieron orientadas a la adopción de medidas saludables, incluyentes y seguras, logrando el abordaje de 5 trabajadores.</w:t>
      </w:r>
    </w:p>
    <w:p w:rsidR="00166D98" w:rsidRPr="00166D98" w:rsidRDefault="00166D98" w:rsidP="00166D98">
      <w:pPr>
        <w:pStyle w:val="NormalWeb"/>
        <w:jc w:val="both"/>
        <w:rPr>
          <w:rFonts w:ascii="Arial" w:hAnsi="Arial" w:cs="Arial"/>
          <w:sz w:val="22"/>
          <w:szCs w:val="22"/>
        </w:rPr>
      </w:pPr>
      <w:r w:rsidRPr="00166D98">
        <w:rPr>
          <w:rFonts w:ascii="Arial" w:hAnsi="Arial" w:cs="Arial"/>
          <w:sz w:val="22"/>
          <w:szCs w:val="22"/>
        </w:rPr>
        <w:t>Asimismo, se llevó a cabo la sensibilización de 31 trabajadores informales en zonas de rumba, enfocada en el expendio responsable de bebidas alcohólicas.</w:t>
      </w:r>
      <w:r w:rsidR="00FF4B66">
        <w:rPr>
          <w:rFonts w:ascii="Arial" w:hAnsi="Arial" w:cs="Arial"/>
          <w:sz w:val="22"/>
          <w:szCs w:val="22"/>
        </w:rPr>
        <w:t xml:space="preserve"> S</w:t>
      </w:r>
      <w:r w:rsidRPr="00166D98">
        <w:rPr>
          <w:rFonts w:ascii="Arial" w:hAnsi="Arial" w:cs="Arial"/>
          <w:sz w:val="22"/>
          <w:szCs w:val="22"/>
        </w:rPr>
        <w:t>e intervinieron 100 personas en Actividades Sexuales Pagadas o vinculadas a esta actividad laboral, mediante acciones de educación transformadora orientadas a la prevención de infecciones de transmisión sexual (ITS), uso adecuado del preservativo, interrupción voluntaria del embarazo (IVE), orientación en métodos de planificación familiar y cuidado menstrual, entre otros.</w:t>
      </w:r>
    </w:p>
    <w:p w:rsidR="00166D98" w:rsidRPr="00166D98" w:rsidRDefault="00166D98" w:rsidP="00166D98">
      <w:pPr>
        <w:pStyle w:val="NormalWeb"/>
        <w:jc w:val="both"/>
        <w:rPr>
          <w:rFonts w:ascii="Arial" w:hAnsi="Arial" w:cs="Arial"/>
          <w:sz w:val="22"/>
          <w:szCs w:val="22"/>
        </w:rPr>
      </w:pPr>
      <w:r w:rsidRPr="00166D98">
        <w:rPr>
          <w:rFonts w:ascii="Arial" w:hAnsi="Arial" w:cs="Arial"/>
          <w:sz w:val="22"/>
          <w:szCs w:val="22"/>
        </w:rPr>
        <w:t>En relación con la erradicación del trabajo infantil, se desarrollaron sesiones educativas en las que se abordaron 69 niños, niñas y adolescentes (NNA), mediante actividades de sensibilización enfocadas en el reconocimiento de las afectaciones a la salud física y mental derivadas de la exposición a espacios laborales, así como en la promoción de factores protectores para mejorar sus condiciones de salud.</w:t>
      </w:r>
    </w:p>
    <w:p w:rsidR="00166D98" w:rsidRPr="00166D98" w:rsidRDefault="00166D98" w:rsidP="00166D98">
      <w:pPr>
        <w:pStyle w:val="NormalWeb"/>
        <w:jc w:val="both"/>
        <w:rPr>
          <w:rFonts w:ascii="Arial" w:hAnsi="Arial" w:cs="Arial"/>
          <w:sz w:val="22"/>
          <w:szCs w:val="22"/>
        </w:rPr>
      </w:pPr>
      <w:r w:rsidRPr="00166D98">
        <w:rPr>
          <w:rFonts w:ascii="Arial" w:hAnsi="Arial" w:cs="Arial"/>
          <w:sz w:val="22"/>
          <w:szCs w:val="22"/>
        </w:rPr>
        <w:t>Adicionalmente, se realizó el abordaje de 43 trabajadores informales en jornadas de educación y sensibilización sobre la prevención de riesgos ocupacionales, con el fin de disminuir la ocurrencia de enfermedades y accidentes laborales.</w:t>
      </w:r>
    </w:p>
    <w:p w:rsidR="00166D98" w:rsidRDefault="00166D98" w:rsidP="00166D98">
      <w:pPr>
        <w:pStyle w:val="NormalWeb"/>
        <w:jc w:val="both"/>
        <w:rPr>
          <w:rFonts w:ascii="Arial" w:hAnsi="Arial" w:cs="Arial"/>
          <w:sz w:val="22"/>
          <w:szCs w:val="22"/>
        </w:rPr>
      </w:pPr>
      <w:r w:rsidRPr="00166D98">
        <w:rPr>
          <w:rFonts w:ascii="Arial" w:hAnsi="Arial" w:cs="Arial"/>
          <w:sz w:val="22"/>
          <w:szCs w:val="22"/>
        </w:rPr>
        <w:t>Por otra parte, se llevó a cabo la caracterización de 29 niños, niñas y adolescentes vinculados o en acompañamiento de actividades laborales, identificando riesgos y condiciones de salud, con el propósito de generar planes de cuidado orientados a fomentar la desvinculación de las peores formas de trabajo infantil.</w:t>
      </w:r>
    </w:p>
    <w:p w:rsidR="008115EC" w:rsidRPr="008115EC" w:rsidRDefault="008115EC" w:rsidP="008115EC">
      <w:pPr>
        <w:pStyle w:val="NormalWeb"/>
        <w:jc w:val="both"/>
        <w:rPr>
          <w:rFonts w:ascii="Arial" w:hAnsi="Arial" w:cs="Arial"/>
          <w:sz w:val="22"/>
          <w:szCs w:val="22"/>
        </w:rPr>
      </w:pPr>
      <w:r w:rsidRPr="008115EC">
        <w:rPr>
          <w:rFonts w:ascii="Arial" w:hAnsi="Arial" w:cs="Arial"/>
          <w:sz w:val="22"/>
          <w:szCs w:val="22"/>
        </w:rPr>
        <w:t>En la localidad de Suba, se ha realizado intervención en zona rural en 27 viviendas de uso compartido, donde se han implementado planes de cuidado orientados a la intervención oportuna de riesgos ocupacionales. Estos incluyen la exposición a agroquímicos, manejo de sustancias químicas, exposición a radiación solar y manipulación de cargas, entre otros.</w:t>
      </w:r>
    </w:p>
    <w:p w:rsidR="008115EC" w:rsidRPr="008115EC" w:rsidRDefault="008115EC" w:rsidP="008115EC">
      <w:pPr>
        <w:pStyle w:val="NormalWeb"/>
        <w:jc w:val="both"/>
        <w:rPr>
          <w:rFonts w:ascii="Arial" w:hAnsi="Arial" w:cs="Arial"/>
          <w:sz w:val="22"/>
          <w:szCs w:val="22"/>
        </w:rPr>
      </w:pPr>
      <w:r w:rsidRPr="008115EC">
        <w:rPr>
          <w:rFonts w:ascii="Arial" w:hAnsi="Arial" w:cs="Arial"/>
          <w:sz w:val="22"/>
          <w:szCs w:val="22"/>
        </w:rPr>
        <w:t>De igual forma, se llevó a cabo una intervención integral con 14 mujeres rurales, enfocada en el fortalecimiento de su rol dentro de las actividades laborales, promoviendo su reconocimiento, participación activa y el desarrollo de prácticas seguras y saludables en sus entornos de trabajo.</w:t>
      </w:r>
    </w:p>
    <w:p w:rsidR="00166D98" w:rsidRDefault="00166D98" w:rsidP="00166D98">
      <w:pPr>
        <w:pStyle w:val="NormalWeb"/>
        <w:jc w:val="both"/>
        <w:rPr>
          <w:rFonts w:ascii="Arial" w:hAnsi="Arial" w:cs="Arial"/>
          <w:sz w:val="22"/>
          <w:szCs w:val="22"/>
        </w:rPr>
      </w:pPr>
      <w:r w:rsidRPr="00166D98">
        <w:rPr>
          <w:rFonts w:ascii="Arial" w:hAnsi="Arial" w:cs="Arial"/>
          <w:sz w:val="22"/>
          <w:szCs w:val="22"/>
        </w:rPr>
        <w:t>Finalmente, se intervinieron 55 unidades de trabajo informal de alto, mediano y bajo impacto, con un abordaje total de 83 trabajadores. En estas unidades se elaboraron planes de trabajo concertados, enfocados en la adopción de medidas de intervención para el control de riesgos ocupacionales identificados, la reducción de eventos en salud asociados a enfermedades y accidentes laborales, y la promoción de espacios de trabajo seguros.</w:t>
      </w:r>
    </w:p>
    <w:p w:rsidR="008115EC" w:rsidRDefault="008115EC" w:rsidP="00166D98">
      <w:pPr>
        <w:pStyle w:val="NormalWeb"/>
        <w:jc w:val="both"/>
        <w:rPr>
          <w:rFonts w:ascii="Arial" w:hAnsi="Arial" w:cs="Arial"/>
          <w:sz w:val="22"/>
          <w:szCs w:val="22"/>
        </w:rPr>
      </w:pPr>
    </w:p>
    <w:p w:rsidR="008115EC" w:rsidRDefault="008115EC" w:rsidP="00166D98">
      <w:pPr>
        <w:pStyle w:val="NormalWeb"/>
        <w:jc w:val="both"/>
        <w:rPr>
          <w:rFonts w:ascii="Arial" w:hAnsi="Arial" w:cs="Arial"/>
          <w:sz w:val="22"/>
          <w:szCs w:val="22"/>
        </w:rPr>
      </w:pPr>
    </w:p>
    <w:p w:rsidR="008115EC" w:rsidRDefault="008115EC" w:rsidP="00166D98">
      <w:pPr>
        <w:pStyle w:val="NormalWeb"/>
        <w:jc w:val="both"/>
        <w:rPr>
          <w:rFonts w:ascii="Arial" w:hAnsi="Arial" w:cs="Arial"/>
          <w:sz w:val="22"/>
          <w:szCs w:val="22"/>
        </w:rPr>
      </w:pPr>
    </w:p>
    <w:p w:rsidR="00FF4B66" w:rsidRPr="002B2B8D" w:rsidRDefault="00FF4B66" w:rsidP="00FF4B66">
      <w:pPr>
        <w:shd w:val="clear" w:color="auto" w:fill="FFFFFF"/>
        <w:spacing w:after="0" w:line="240" w:lineRule="auto"/>
        <w:textAlignment w:val="baseline"/>
        <w:rPr>
          <w:rFonts w:ascii="Tahoma" w:eastAsia="Times New Roman" w:hAnsi="Tahoma" w:cs="Tahoma"/>
          <w:b/>
          <w:color w:val="000000"/>
          <w:lang w:eastAsia="es-CO"/>
        </w:rPr>
      </w:pPr>
      <w:r w:rsidRPr="002B2B8D">
        <w:rPr>
          <w:rFonts w:ascii="Tahoma" w:eastAsia="Times New Roman" w:hAnsi="Tahoma" w:cs="Tahoma"/>
          <w:b/>
          <w:color w:val="000000"/>
          <w:lang w:eastAsia="es-CO"/>
        </w:rPr>
        <w:lastRenderedPageBreak/>
        <w:t>-Localidad de Fontibón: UPZ-75 Fontibón; UPZ 117-Aeropuerto el Dorado y UPZ 76-San Pablo, con sus respectivos barrios.</w:t>
      </w:r>
    </w:p>
    <w:p w:rsidR="004B3E1E" w:rsidRPr="004B3E1E" w:rsidRDefault="004B3E1E" w:rsidP="004B3E1E">
      <w:pPr>
        <w:pStyle w:val="NormalWeb"/>
        <w:jc w:val="both"/>
        <w:rPr>
          <w:rFonts w:ascii="Arial" w:hAnsi="Arial" w:cs="Arial"/>
          <w:sz w:val="22"/>
          <w:szCs w:val="22"/>
        </w:rPr>
      </w:pPr>
      <w:r w:rsidRPr="004B3E1E">
        <w:rPr>
          <w:rFonts w:ascii="Arial" w:hAnsi="Arial" w:cs="Arial"/>
          <w:sz w:val="22"/>
          <w:szCs w:val="22"/>
        </w:rPr>
        <w:t>En el marco de las acciones colectivas en salud pública, las intervenciones de bienestar desarrolladas en los barrios previamente referidos comprenden:</w:t>
      </w:r>
    </w:p>
    <w:p w:rsidR="004B3E1E" w:rsidRPr="004B3E1E" w:rsidRDefault="004B3E1E" w:rsidP="004B3E1E">
      <w:pPr>
        <w:pStyle w:val="NormalWeb"/>
        <w:jc w:val="both"/>
        <w:rPr>
          <w:rFonts w:ascii="Arial" w:hAnsi="Arial" w:cs="Arial"/>
          <w:sz w:val="22"/>
          <w:szCs w:val="22"/>
        </w:rPr>
      </w:pPr>
      <w:r w:rsidRPr="004B3E1E">
        <w:rPr>
          <w:rFonts w:ascii="Arial" w:hAnsi="Arial" w:cs="Arial"/>
          <w:sz w:val="22"/>
          <w:szCs w:val="22"/>
        </w:rPr>
        <w:t>La implementación de sesiones educativas para la erradicación del trabajo infantil, logrando el abordaje de 31 niños, niñas y adolescentes (NNA). En estos espacios se brindó orientación sobre la importancia del uso adecuado del tiempo libre, la sensibilización frente a las afectaciones en la salud física y mental derivadas del trabajo infantil, y la promoción de prácticas de autocuidado.</w:t>
      </w:r>
    </w:p>
    <w:p w:rsidR="004B3E1E" w:rsidRPr="004B3E1E" w:rsidRDefault="004B3E1E" w:rsidP="004B3E1E">
      <w:pPr>
        <w:pStyle w:val="NormalWeb"/>
        <w:jc w:val="both"/>
        <w:rPr>
          <w:rFonts w:ascii="Arial" w:hAnsi="Arial" w:cs="Arial"/>
          <w:sz w:val="22"/>
          <w:szCs w:val="22"/>
        </w:rPr>
      </w:pPr>
      <w:r w:rsidRPr="004B3E1E">
        <w:rPr>
          <w:rFonts w:ascii="Arial" w:hAnsi="Arial" w:cs="Arial"/>
          <w:sz w:val="22"/>
          <w:szCs w:val="22"/>
        </w:rPr>
        <w:t>Asimismo, se abordaron 91 trabajadores en el marco de las acciones de bienestar dirigidas a personas en Actividades Sexuales Pagadas, mediante procesos de educación en salud enfocados en la prevención de infecciones de transmisión sexual (ITS), el uso adecuado del preservativo, la prevención de violencias, el cuidado menstrual y la prevención de la trata de personas, entre otros temas.</w:t>
      </w:r>
    </w:p>
    <w:p w:rsidR="004B3E1E" w:rsidRPr="004B3E1E" w:rsidRDefault="004B3E1E" w:rsidP="004B3E1E">
      <w:pPr>
        <w:pStyle w:val="NormalWeb"/>
        <w:jc w:val="both"/>
        <w:rPr>
          <w:rFonts w:ascii="Arial" w:hAnsi="Arial" w:cs="Arial"/>
          <w:sz w:val="22"/>
          <w:szCs w:val="22"/>
        </w:rPr>
      </w:pPr>
      <w:r w:rsidRPr="004B3E1E">
        <w:rPr>
          <w:rFonts w:ascii="Arial" w:hAnsi="Arial" w:cs="Arial"/>
          <w:sz w:val="22"/>
          <w:szCs w:val="22"/>
        </w:rPr>
        <w:t>De igual manera, se intervinieron 20 trabajadores informales en jornadas educativas orientadas al recono</w:t>
      </w:r>
      <w:bookmarkStart w:id="0" w:name="_GoBack"/>
      <w:bookmarkEnd w:id="0"/>
      <w:r w:rsidRPr="004B3E1E">
        <w:rPr>
          <w:rFonts w:ascii="Arial" w:hAnsi="Arial" w:cs="Arial"/>
          <w:sz w:val="22"/>
          <w:szCs w:val="22"/>
        </w:rPr>
        <w:t>cimiento de riesgos ocupacionales, con el propósito de establecer medidas de control que contribuyan a la disminución de eventos en salud asociados a enfermedades y accidentes laborales.</w:t>
      </w:r>
    </w:p>
    <w:p w:rsidR="004B3E1E" w:rsidRPr="004B3E1E" w:rsidRDefault="004B3E1E" w:rsidP="004B3E1E">
      <w:pPr>
        <w:pStyle w:val="NormalWeb"/>
        <w:jc w:val="both"/>
        <w:rPr>
          <w:rFonts w:ascii="Arial" w:hAnsi="Arial" w:cs="Arial"/>
          <w:sz w:val="22"/>
          <w:szCs w:val="22"/>
        </w:rPr>
      </w:pPr>
      <w:r w:rsidRPr="004B3E1E">
        <w:rPr>
          <w:rFonts w:ascii="Arial" w:hAnsi="Arial" w:cs="Arial"/>
          <w:sz w:val="22"/>
          <w:szCs w:val="22"/>
        </w:rPr>
        <w:t>En relación con la acción de bienestar enfocada en la caracterización de unidades de trabajo informal, se identificaron 23 establecimientos con un total de 37 trabajadores informales. En estos espacios se desarrollaron acciones de educación transformadora acordes con los riesgos ocupacionales identificados, tales como la exposición a sustancias químicas, la inhalación de humos o polvos, la realización de actividades monótonas o repetitivas y el estrés laboral, entre otros.</w:t>
      </w:r>
    </w:p>
    <w:p w:rsidR="004B3E1E" w:rsidRPr="004B3E1E" w:rsidRDefault="004B3E1E" w:rsidP="004B3E1E">
      <w:pPr>
        <w:pStyle w:val="NormalWeb"/>
        <w:jc w:val="both"/>
        <w:rPr>
          <w:rFonts w:ascii="Arial" w:hAnsi="Arial" w:cs="Arial"/>
          <w:sz w:val="22"/>
          <w:szCs w:val="22"/>
        </w:rPr>
      </w:pPr>
      <w:r w:rsidRPr="004B3E1E">
        <w:rPr>
          <w:rFonts w:ascii="Arial" w:hAnsi="Arial" w:cs="Arial"/>
          <w:sz w:val="22"/>
          <w:szCs w:val="22"/>
        </w:rPr>
        <w:t>Finalmente, se contó con el acompañamiento transversal de los perfiles de enfermería y psicología, quienes apoyaron los procesos de educación en salud orientados a la prevención de enfermedades crónicas y la identificación de alertas en salud mental. Estas acciones incluyeron la aplicación de tamizajes para la detección de factores de riesgo, la toma de medidas antropométricas y el desarrollo de procesos educativos en salud acordes con los riesgos identificados.</w:t>
      </w:r>
    </w:p>
    <w:p w:rsidR="00166D98" w:rsidRPr="004B3E1E" w:rsidRDefault="00166D98" w:rsidP="004B3E1E">
      <w:pPr>
        <w:pStyle w:val="NormalWeb"/>
        <w:jc w:val="both"/>
        <w:rPr>
          <w:rFonts w:ascii="Arial" w:hAnsi="Arial" w:cs="Arial"/>
          <w:color w:val="000000"/>
          <w:sz w:val="22"/>
          <w:szCs w:val="22"/>
        </w:rPr>
      </w:pPr>
    </w:p>
    <w:sectPr w:rsidR="00166D98" w:rsidRPr="004B3E1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B8D"/>
    <w:rsid w:val="000F2BE4"/>
    <w:rsid w:val="00166D98"/>
    <w:rsid w:val="001B0B88"/>
    <w:rsid w:val="002B2B8D"/>
    <w:rsid w:val="004B3E1E"/>
    <w:rsid w:val="004F3906"/>
    <w:rsid w:val="005A5FFA"/>
    <w:rsid w:val="007D4BFA"/>
    <w:rsid w:val="008115EC"/>
    <w:rsid w:val="00A95962"/>
    <w:rsid w:val="00FF4B6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25ABF8-10A3-4CA3-ABAC-05E95558D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0F2BE4"/>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342614">
      <w:bodyDiv w:val="1"/>
      <w:marLeft w:val="0"/>
      <w:marRight w:val="0"/>
      <w:marTop w:val="0"/>
      <w:marBottom w:val="0"/>
      <w:divBdr>
        <w:top w:val="none" w:sz="0" w:space="0" w:color="auto"/>
        <w:left w:val="none" w:sz="0" w:space="0" w:color="auto"/>
        <w:bottom w:val="none" w:sz="0" w:space="0" w:color="auto"/>
        <w:right w:val="none" w:sz="0" w:space="0" w:color="auto"/>
      </w:divBdr>
    </w:div>
    <w:div w:id="252977214">
      <w:bodyDiv w:val="1"/>
      <w:marLeft w:val="0"/>
      <w:marRight w:val="0"/>
      <w:marTop w:val="0"/>
      <w:marBottom w:val="0"/>
      <w:divBdr>
        <w:top w:val="none" w:sz="0" w:space="0" w:color="auto"/>
        <w:left w:val="none" w:sz="0" w:space="0" w:color="auto"/>
        <w:bottom w:val="none" w:sz="0" w:space="0" w:color="auto"/>
        <w:right w:val="none" w:sz="0" w:space="0" w:color="auto"/>
      </w:divBdr>
    </w:div>
    <w:div w:id="613440633">
      <w:bodyDiv w:val="1"/>
      <w:marLeft w:val="0"/>
      <w:marRight w:val="0"/>
      <w:marTop w:val="0"/>
      <w:marBottom w:val="0"/>
      <w:divBdr>
        <w:top w:val="none" w:sz="0" w:space="0" w:color="auto"/>
        <w:left w:val="none" w:sz="0" w:space="0" w:color="auto"/>
        <w:bottom w:val="none" w:sz="0" w:space="0" w:color="auto"/>
        <w:right w:val="none" w:sz="0" w:space="0" w:color="auto"/>
      </w:divBdr>
    </w:div>
    <w:div w:id="1054087603">
      <w:bodyDiv w:val="1"/>
      <w:marLeft w:val="0"/>
      <w:marRight w:val="0"/>
      <w:marTop w:val="0"/>
      <w:marBottom w:val="0"/>
      <w:divBdr>
        <w:top w:val="none" w:sz="0" w:space="0" w:color="auto"/>
        <w:left w:val="none" w:sz="0" w:space="0" w:color="auto"/>
        <w:bottom w:val="none" w:sz="0" w:space="0" w:color="auto"/>
        <w:right w:val="none" w:sz="0" w:space="0" w:color="auto"/>
      </w:divBdr>
      <w:divsChild>
        <w:div w:id="1221213325">
          <w:marLeft w:val="0"/>
          <w:marRight w:val="0"/>
          <w:marTop w:val="0"/>
          <w:marBottom w:val="0"/>
          <w:divBdr>
            <w:top w:val="none" w:sz="0" w:space="0" w:color="auto"/>
            <w:left w:val="none" w:sz="0" w:space="0" w:color="auto"/>
            <w:bottom w:val="none" w:sz="0" w:space="0" w:color="auto"/>
            <w:right w:val="none" w:sz="0" w:space="0" w:color="auto"/>
          </w:divBdr>
        </w:div>
        <w:div w:id="2114936217">
          <w:marLeft w:val="0"/>
          <w:marRight w:val="0"/>
          <w:marTop w:val="0"/>
          <w:marBottom w:val="0"/>
          <w:divBdr>
            <w:top w:val="none" w:sz="0" w:space="0" w:color="auto"/>
            <w:left w:val="none" w:sz="0" w:space="0" w:color="auto"/>
            <w:bottom w:val="none" w:sz="0" w:space="0" w:color="auto"/>
            <w:right w:val="none" w:sz="0" w:space="0" w:color="auto"/>
          </w:divBdr>
        </w:div>
        <w:div w:id="1830753807">
          <w:marLeft w:val="0"/>
          <w:marRight w:val="0"/>
          <w:marTop w:val="0"/>
          <w:marBottom w:val="0"/>
          <w:divBdr>
            <w:top w:val="none" w:sz="0" w:space="0" w:color="auto"/>
            <w:left w:val="none" w:sz="0" w:space="0" w:color="auto"/>
            <w:bottom w:val="none" w:sz="0" w:space="0" w:color="auto"/>
            <w:right w:val="none" w:sz="0" w:space="0" w:color="auto"/>
          </w:divBdr>
        </w:div>
        <w:div w:id="852694539">
          <w:marLeft w:val="0"/>
          <w:marRight w:val="0"/>
          <w:marTop w:val="0"/>
          <w:marBottom w:val="0"/>
          <w:divBdr>
            <w:top w:val="none" w:sz="0" w:space="0" w:color="auto"/>
            <w:left w:val="none" w:sz="0" w:space="0" w:color="auto"/>
            <w:bottom w:val="none" w:sz="0" w:space="0" w:color="auto"/>
            <w:right w:val="none" w:sz="0" w:space="0" w:color="auto"/>
          </w:divBdr>
          <w:divsChild>
            <w:div w:id="1517424745">
              <w:marLeft w:val="0"/>
              <w:marRight w:val="0"/>
              <w:marTop w:val="0"/>
              <w:marBottom w:val="0"/>
              <w:divBdr>
                <w:top w:val="none" w:sz="0" w:space="0" w:color="auto"/>
                <w:left w:val="none" w:sz="0" w:space="0" w:color="auto"/>
                <w:bottom w:val="none" w:sz="0" w:space="0" w:color="auto"/>
                <w:right w:val="none" w:sz="0" w:space="0" w:color="auto"/>
              </w:divBdr>
            </w:div>
            <w:div w:id="33588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93906">
      <w:bodyDiv w:val="1"/>
      <w:marLeft w:val="0"/>
      <w:marRight w:val="0"/>
      <w:marTop w:val="0"/>
      <w:marBottom w:val="0"/>
      <w:divBdr>
        <w:top w:val="none" w:sz="0" w:space="0" w:color="auto"/>
        <w:left w:val="none" w:sz="0" w:space="0" w:color="auto"/>
        <w:bottom w:val="none" w:sz="0" w:space="0" w:color="auto"/>
        <w:right w:val="none" w:sz="0" w:space="0" w:color="auto"/>
      </w:divBdr>
    </w:div>
    <w:div w:id="162642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1E53B662641C24289E3BC0FC531FAF9" ma:contentTypeVersion="20" ma:contentTypeDescription="Crear nuevo documento." ma:contentTypeScope="" ma:versionID="ebc86fa453f4939f7a0e1d3648738bc2">
  <xsd:schema xmlns:xsd="http://www.w3.org/2001/XMLSchema" xmlns:xs="http://www.w3.org/2001/XMLSchema" xmlns:p="http://schemas.microsoft.com/office/2006/metadata/properties" xmlns:ns2="0dcfc175-cffb-489f-a5f5-fa812b665c51" xmlns:ns3="4e613a32-d978-4127-bfcc-dbab85fb6e36" targetNamespace="http://schemas.microsoft.com/office/2006/metadata/properties" ma:root="true" ma:fieldsID="f5736cbf8080b64647acaddc5c5442cc" ns2:_="" ns3:_="">
    <xsd:import namespace="0dcfc175-cffb-489f-a5f5-fa812b665c51"/>
    <xsd:import namespace="4e613a32-d978-4127-bfcc-dbab85fb6e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fc175-cffb-489f-a5f5-fa812b665c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613a32-d978-4127-bfcc-dbab85fb6e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582488f-d407-4c41-8928-07d47a1dcb79}" ma:internalName="TaxCatchAll" ma:showField="CatchAllData" ma:web="4e613a32-d978-4127-bfcc-dbab85fb6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cfc175-cffb-489f-a5f5-fa812b665c51">
      <Terms xmlns="http://schemas.microsoft.com/office/infopath/2007/PartnerControls"/>
    </lcf76f155ced4ddcb4097134ff3c332f>
    <TaxCatchAll xmlns="4e613a32-d978-4127-bfcc-dbab85fb6e36" xsi:nil="true"/>
  </documentManagement>
</p:properties>
</file>

<file path=customXml/itemProps1.xml><?xml version="1.0" encoding="utf-8"?>
<ds:datastoreItem xmlns:ds="http://schemas.openxmlformats.org/officeDocument/2006/customXml" ds:itemID="{81A39EF0-AF59-4CF7-A05B-4887E9A64F37}"/>
</file>

<file path=customXml/itemProps2.xml><?xml version="1.0" encoding="utf-8"?>
<ds:datastoreItem xmlns:ds="http://schemas.openxmlformats.org/officeDocument/2006/customXml" ds:itemID="{83533FE2-D455-47EE-9794-D66CAA6153F6}"/>
</file>

<file path=customXml/itemProps3.xml><?xml version="1.0" encoding="utf-8"?>
<ds:datastoreItem xmlns:ds="http://schemas.openxmlformats.org/officeDocument/2006/customXml" ds:itemID="{F0CE15D0-AFD4-42DB-A16E-87F37F073690}"/>
</file>

<file path=docProps/app.xml><?xml version="1.0" encoding="utf-8"?>
<Properties xmlns="http://schemas.openxmlformats.org/officeDocument/2006/extended-properties" xmlns:vt="http://schemas.openxmlformats.org/officeDocument/2006/docPropsVTypes">
  <Template>Normal</Template>
  <TotalTime>98</TotalTime>
  <Pages>3</Pages>
  <Words>1191</Words>
  <Characters>6556</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Erica Licet, Ospina Ortíz</dc:creator>
  <cp:keywords/>
  <dc:description/>
  <cp:lastModifiedBy>Erica Licet, Ospina Ortíz</cp:lastModifiedBy>
  <cp:revision>1</cp:revision>
  <dcterms:created xsi:type="dcterms:W3CDTF">2026-04-15T19:08:00Z</dcterms:created>
  <dcterms:modified xsi:type="dcterms:W3CDTF">2026-04-15T20:49:00Z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0x010100E1E53B662641C24289E3BC0FC531FAF9</vt:lpwstr>
  </property>
</Properties>
</file>